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0A7B2BD3" w:rsidR="00F85137" w:rsidRPr="00F85137" w:rsidRDefault="00DE521C" w:rsidP="00F8513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EE5DE2" w:rsidRPr="00560622">
        <w:rPr>
          <w:rFonts w:ascii="Arial Narrow" w:hAnsi="Arial Narrow" w:cs="Calibri"/>
          <w:szCs w:val="24"/>
        </w:rPr>
        <w:t>„</w:t>
      </w:r>
      <w:r w:rsidR="00BF0470" w:rsidRPr="00BF0470">
        <w:rPr>
          <w:rFonts w:ascii="Arial Narrow" w:hAnsi="Arial Narrow" w:cs="Calibri"/>
          <w:b/>
          <w:szCs w:val="24"/>
        </w:rPr>
        <w:t>VO</w:t>
      </w:r>
      <w:r w:rsidR="00BF0470">
        <w:rPr>
          <w:rFonts w:ascii="Arial Narrow" w:hAnsi="Arial Narrow" w:cs="Calibri"/>
          <w:b/>
          <w:szCs w:val="24"/>
        </w:rPr>
        <w:t xml:space="preserve"> - </w:t>
      </w:r>
      <w:r w:rsidR="005A5CF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Výpočtová technika SIRENE II.</w:t>
      </w:r>
      <w:r w:rsidR="00F8513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 (</w:t>
      </w:r>
      <w:r w:rsidR="005C4D3C" w:rsidRPr="00502E13">
        <w:rPr>
          <w:rFonts w:ascii="Arial Narrow" w:hAnsi="Arial Narrow"/>
          <w:b/>
          <w:color w:val="333333"/>
          <w:szCs w:val="22"/>
          <w:shd w:val="clear" w:color="auto" w:fill="FFFFFF"/>
        </w:rPr>
        <w:t xml:space="preserve">ID zákazky </w:t>
      </w:r>
      <w:r w:rsidR="00BF0470">
        <w:rPr>
          <w:rFonts w:ascii="Arial Narrow" w:hAnsi="Arial Narrow"/>
          <w:b/>
          <w:color w:val="333333"/>
          <w:shd w:val="clear" w:color="auto" w:fill="FFFFFF"/>
        </w:rPr>
        <w:t>32039</w:t>
      </w:r>
      <w:r w:rsidR="00F8513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)“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4A7E3E32" w14:textId="1B5A60A0" w:rsidR="005A5CF8" w:rsidRPr="005A5CF8" w:rsidRDefault="00FB6406" w:rsidP="005A5CF8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 w:rsidR="005A5CF8">
        <w:rPr>
          <w:rFonts w:ascii="Arial Narrow" w:hAnsi="Arial Narrow" w:cs="Calibri"/>
          <w:szCs w:val="24"/>
        </w:rPr>
        <w:t xml:space="preserve">. </w:t>
      </w:r>
      <w:r w:rsidR="005A5CF8" w:rsidRPr="005A5CF8">
        <w:rPr>
          <w:rFonts w:ascii="Arial Narrow" w:hAnsi="Arial Narrow"/>
          <w:color w:val="333333"/>
          <w:szCs w:val="24"/>
          <w:shd w:val="clear" w:color="auto" w:fill="FFFFFF"/>
          <w:lang w:eastAsia="cs-CZ"/>
        </w:rPr>
        <w:t xml:space="preserve">Predmet zákazky je realizovaný a </w:t>
      </w:r>
      <w:r w:rsidR="005A5CF8" w:rsidRPr="005A5CF8">
        <w:rPr>
          <w:rFonts w:ascii="Arial Narrow" w:hAnsi="Arial Narrow"/>
          <w:b/>
          <w:color w:val="333333"/>
          <w:szCs w:val="24"/>
          <w:shd w:val="clear" w:color="auto" w:fill="FFFFFF"/>
          <w:lang w:eastAsia="cs-CZ"/>
        </w:rPr>
        <w:t>spolufinancovaný z fondu pre vnútornú bezpečnosť</w:t>
      </w:r>
      <w:r w:rsidR="005A5CF8" w:rsidRPr="005A5CF8">
        <w:rPr>
          <w:rFonts w:ascii="Arial Narrow" w:hAnsi="Arial Narrow"/>
          <w:color w:val="333333"/>
          <w:szCs w:val="24"/>
          <w:shd w:val="clear" w:color="auto" w:fill="FFFFFF"/>
          <w:lang w:eastAsia="cs-CZ"/>
        </w:rPr>
        <w:t xml:space="preserve"> v rámci projektu „Modernizácia a obmena hardvérového a technického vybavenia národnej ústredne SIRENE, INTERPOL a spoločných kontaktných pracovísk / centier policajnej a colnej spolupráce “, kód projektu SK 2017 ISF SC5/NC2/A2/P2.</w:t>
      </w:r>
    </w:p>
    <w:p w14:paraId="00069663" w14:textId="7362DEB1" w:rsidR="005A5CF8" w:rsidRPr="00560622" w:rsidRDefault="005A5CF8" w:rsidP="005A5CF8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77777777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dodať kupujúcemu tovar, vrátane dopravy do miesta dodania, 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77777777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77777777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187522" w:rsidRPr="00560622">
        <w:rPr>
          <w:rFonts w:ascii="Arial Narrow" w:hAnsi="Arial Narrow" w:cs="Calibri"/>
          <w:szCs w:val="24"/>
        </w:rPr>
        <w:t xml:space="preserve">, a to najmä </w:t>
      </w:r>
      <w:r w:rsidRPr="00560622">
        <w:rPr>
          <w:rFonts w:ascii="Arial Narrow" w:hAnsi="Arial Narrow" w:cs="Calibri"/>
          <w:szCs w:val="24"/>
        </w:rPr>
        <w:t xml:space="preserve"> </w:t>
      </w:r>
      <w:r w:rsidR="002761BF" w:rsidRPr="00560622">
        <w:rPr>
          <w:rFonts w:ascii="Arial Narrow" w:hAnsi="Arial Narrow" w:cs="Calibri"/>
          <w:szCs w:val="24"/>
        </w:rPr>
        <w:t xml:space="preserve">návod na použitie, </w:t>
      </w:r>
      <w:r w:rsidRPr="00560622">
        <w:rPr>
          <w:rFonts w:ascii="Arial Narrow" w:hAnsi="Arial Narrow" w:cs="Calibri"/>
          <w:szCs w:val="24"/>
        </w:rPr>
        <w:t>informácie</w:t>
      </w:r>
      <w:r w:rsidR="008C46BC" w:rsidRPr="00560622">
        <w:rPr>
          <w:rFonts w:ascii="Arial Narrow" w:hAnsi="Arial Narrow" w:cs="Calibri"/>
          <w:szCs w:val="24"/>
        </w:rPr>
        <w:t xml:space="preserve"> o  manipulovaní a skladovaní</w:t>
      </w:r>
      <w:r w:rsidR="004E1006">
        <w:rPr>
          <w:rFonts w:ascii="Arial Narrow" w:hAnsi="Arial Narrow" w:cs="Calibri"/>
          <w:szCs w:val="24"/>
        </w:rPr>
        <w:t>, v slovenskom jazyku alebo v českom jazyku.</w:t>
      </w:r>
    </w:p>
    <w:p w14:paraId="5561D72F" w14:textId="0AE4627C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dodania, s vyložením v</w:t>
      </w:r>
      <w:r w:rsidR="004314B0" w:rsidRPr="00560622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mieste</w:t>
      </w:r>
      <w:r w:rsidR="004314B0"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dodania</w:t>
      </w:r>
      <w:r w:rsidR="00097ED2">
        <w:rPr>
          <w:rFonts w:ascii="Arial Narrow" w:hAnsi="Arial Narrow"/>
          <w:szCs w:val="24"/>
        </w:rPr>
        <w:t xml:space="preserve">, odber a ekologická likvidácia použitého spotrebného materiálu a základná HW inštalácia v mieste dodania.   </w:t>
      </w:r>
    </w:p>
    <w:p w14:paraId="25890130" w14:textId="0C68E50C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5A5CF8">
        <w:rPr>
          <w:rFonts w:ascii="Arial Narrow" w:hAnsi="Arial Narrow" w:cs="Calibri"/>
          <w:szCs w:val="24"/>
        </w:rPr>
        <w:t>6</w:t>
      </w:r>
      <w:r w:rsidR="00EE5DE2" w:rsidRPr="00560622">
        <w:rPr>
          <w:rFonts w:ascii="Arial Narrow" w:hAnsi="Arial Narrow" w:cs="Calibri"/>
          <w:szCs w:val="24"/>
        </w:rPr>
        <w:t>0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="00DE521C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Po prebratí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. Kupujúci po prebratí predmetu zmluvy </w:t>
      </w:r>
      <w:r w:rsidR="004D37DE" w:rsidRPr="00560622">
        <w:rPr>
          <w:rFonts w:ascii="Arial Narrow" w:hAnsi="Arial Narrow" w:cs="Calibri"/>
          <w:szCs w:val="24"/>
        </w:rPr>
        <w:lastRenderedPageBreak/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neprebrať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 w:rsidR="008E1AA4" w:rsidRPr="00560622">
        <w:rPr>
          <w:rFonts w:ascii="Arial Narrow" w:hAnsi="Arial Narrow"/>
          <w:color w:val="000000"/>
          <w:szCs w:val="24"/>
        </w:rPr>
        <w:t xml:space="preserve">platiť cenu za neprebraný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77777777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 a zaplatením kúpnej ceny.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3C2853F1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42A7981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3054B4C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6CB5A94A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3E8B218B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5D48D17D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5D7938BA" w14:textId="529FF362" w:rsidR="008B7A63" w:rsidRPr="005C4D3C" w:rsidRDefault="008B7A63" w:rsidP="005A5CF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lastRenderedPageBreak/>
        <w:t>7. verejný ochranca práv,</w:t>
      </w:r>
    </w:p>
    <w:p w14:paraId="7DBC90B9" w14:textId="3E5304FE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523584CE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1CE78BF5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39227D87" w14:textId="2B6A0250" w:rsidR="008B7A63" w:rsidRPr="00315D9E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669C0357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73A2231E" w14:textId="616B25F5" w:rsidR="008B7A63" w:rsidRPr="00315D9E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predseda vyššieho územného celku,</w:t>
      </w:r>
    </w:p>
    <w:p w14:paraId="59D6A4E3" w14:textId="77777777" w:rsidR="008B7A63" w:rsidRPr="00560622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D43B58">
      <w:pPr>
        <w:pStyle w:val="CTL"/>
        <w:numPr>
          <w:ilvl w:val="1"/>
          <w:numId w:val="14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77777777" w:rsidR="00FC2417" w:rsidRPr="00D43B58" w:rsidRDefault="005D55E8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prebratí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 xml:space="preserve">na základe faktúry, ktorej splatnosť je dohodnutá v lehote </w:t>
      </w:r>
      <w:r w:rsidR="006208A8" w:rsidRPr="00560622">
        <w:rPr>
          <w:rFonts w:ascii="Arial Narrow" w:hAnsi="Arial Narrow"/>
          <w:szCs w:val="24"/>
        </w:rPr>
        <w:t>tridsať (</w:t>
      </w:r>
      <w:r w:rsidR="004819EC" w:rsidRPr="00560622">
        <w:rPr>
          <w:rFonts w:ascii="Arial Narrow" w:hAnsi="Arial Narrow"/>
          <w:szCs w:val="24"/>
        </w:rPr>
        <w:t>30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77777777" w:rsidR="00DA58A1" w:rsidRPr="00D43B5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0607EFB9" w:rsidR="00D43B58" w:rsidRPr="00D43B58" w:rsidRDefault="00D43B58" w:rsidP="00D43B58">
      <w:pPr>
        <w:pStyle w:val="CTL"/>
        <w:numPr>
          <w:ilvl w:val="1"/>
          <w:numId w:val="3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5A5CF8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 xml:space="preserve">od prebratia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77777777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 povinnosť vady odstrániť na svoje náklady</w:t>
      </w:r>
      <w:r w:rsidR="00626B24" w:rsidRPr="00560622">
        <w:rPr>
          <w:rFonts w:ascii="Arial Narrow" w:hAnsi="Arial Narrow" w:cs="Calibri"/>
          <w:szCs w:val="24"/>
        </w:rPr>
        <w:t xml:space="preserve"> </w:t>
      </w:r>
      <w:r w:rsidR="00626B24" w:rsidRPr="00D43B58">
        <w:rPr>
          <w:rFonts w:ascii="Arial Narrow" w:hAnsi="Arial Narrow" w:cs="Calibri"/>
          <w:szCs w:val="24"/>
        </w:rPr>
        <w:t xml:space="preserve">do </w:t>
      </w:r>
      <w:r w:rsidR="00D43B58" w:rsidRPr="00D43B58">
        <w:rPr>
          <w:rFonts w:ascii="Arial Narrow" w:hAnsi="Arial Narrow" w:cs="Calibri"/>
          <w:szCs w:val="24"/>
        </w:rPr>
        <w:t>30</w:t>
      </w:r>
      <w:r w:rsidR="00D43B58">
        <w:rPr>
          <w:rFonts w:ascii="Arial Narrow" w:hAnsi="Arial Narrow" w:cs="Calibri"/>
          <w:szCs w:val="24"/>
        </w:rPr>
        <w:t xml:space="preserve"> </w:t>
      </w:r>
      <w:r w:rsidR="00626B24" w:rsidRPr="00560622">
        <w:rPr>
          <w:rFonts w:ascii="Arial Narrow" w:hAnsi="Arial Narrow" w:cs="Calibri"/>
          <w:szCs w:val="24"/>
        </w:rPr>
        <w:t>dní od doručenia pí</w:t>
      </w:r>
      <w:r w:rsidR="000815C8">
        <w:rPr>
          <w:rFonts w:ascii="Arial Narrow" w:hAnsi="Arial Narrow" w:cs="Calibri"/>
          <w:szCs w:val="24"/>
        </w:rPr>
        <w:t>somnej reklamácie predávajúcemu</w:t>
      </w:r>
      <w:r w:rsidRPr="00560622">
        <w:rPr>
          <w:rFonts w:ascii="Arial Narrow" w:hAnsi="Arial Narrow" w:cs="Calibri"/>
          <w:szCs w:val="24"/>
        </w:rPr>
        <w:t xml:space="preserve">.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8C46BC" w:rsidRPr="00560622">
        <w:rPr>
          <w:rFonts w:ascii="Arial Narrow" w:hAnsi="Arial Narrow" w:cs="Calibri"/>
          <w:szCs w:val="24"/>
        </w:rPr>
        <w:t xml:space="preserve"> Predávajúci sa zaväzuje odstrániť vadu tovaru na vlastné náklady najneskôr v lehote </w:t>
      </w:r>
      <w:r w:rsidR="008C46BC" w:rsidRPr="00D43B58">
        <w:rPr>
          <w:rFonts w:ascii="Arial Narrow" w:hAnsi="Arial Narrow" w:cs="Calibri"/>
          <w:szCs w:val="24"/>
        </w:rPr>
        <w:t>do</w:t>
      </w:r>
      <w:r w:rsidR="00D43B58">
        <w:rPr>
          <w:rFonts w:ascii="Arial Narrow" w:hAnsi="Arial Narrow" w:cs="Calibri"/>
          <w:szCs w:val="24"/>
        </w:rPr>
        <w:t xml:space="preserve"> 30 </w:t>
      </w:r>
      <w:r w:rsidR="008C46BC" w:rsidRPr="00560622">
        <w:rPr>
          <w:rFonts w:ascii="Arial Narrow" w:hAnsi="Arial Narrow" w:cs="Calibri"/>
          <w:szCs w:val="24"/>
        </w:rPr>
        <w:t xml:space="preserve"> dní odo dňa uplatnenia reklamácie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>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14:paraId="29A85F7C" w14:textId="5848C57E"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prebrať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 podľa článku </w:t>
      </w:r>
      <w:r w:rsidR="003E2B86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Pr="00560622">
        <w:rPr>
          <w:rFonts w:ascii="Arial Narrow" w:hAnsi="Arial Narrow" w:cs="Calibri"/>
          <w:szCs w:val="24"/>
        </w:rPr>
        <w:t>,</w:t>
      </w:r>
    </w:p>
    <w:p w14:paraId="3B63DE1B" w14:textId="1B75533A"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14:paraId="014C8548" w14:textId="77777777" w:rsidR="00F0274A" w:rsidRPr="00560622" w:rsidRDefault="00D5473D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Kupujúci </w:t>
      </w:r>
      <w:r w:rsidR="00F0274A" w:rsidRPr="00560622">
        <w:rPr>
          <w:rFonts w:ascii="Arial Narrow" w:hAnsi="Arial Narrow"/>
          <w:szCs w:val="24"/>
        </w:rPr>
        <w:t>má právo v prípade pochybností</w:t>
      </w:r>
      <w:r w:rsidR="008808C4" w:rsidRPr="00560622">
        <w:rPr>
          <w:rFonts w:ascii="Arial Narrow" w:hAnsi="Arial Narrow"/>
          <w:szCs w:val="24"/>
        </w:rPr>
        <w:t xml:space="preserve"> o kvalite predmetu zmluvy</w:t>
      </w:r>
      <w:r w:rsidR="00F0274A" w:rsidRPr="00560622">
        <w:rPr>
          <w:rFonts w:ascii="Arial Narrow" w:hAnsi="Arial Narrow"/>
          <w:szCs w:val="24"/>
        </w:rPr>
        <w:t xml:space="preserve"> si vyžiadať vzorku ktorejkoľvek časti </w:t>
      </w:r>
      <w:r w:rsidR="008808C4" w:rsidRPr="00560622">
        <w:rPr>
          <w:rFonts w:ascii="Arial Narrow" w:hAnsi="Arial Narrow"/>
          <w:szCs w:val="24"/>
        </w:rPr>
        <w:t>predmetu zmluvy</w:t>
      </w:r>
      <w:r w:rsidR="00613A8C" w:rsidRPr="00560622">
        <w:rPr>
          <w:rFonts w:ascii="Arial Narrow" w:hAnsi="Arial Narrow"/>
          <w:szCs w:val="24"/>
        </w:rPr>
        <w:t xml:space="preserve"> </w:t>
      </w:r>
      <w:r w:rsidR="00F0274A" w:rsidRPr="00560622">
        <w:rPr>
          <w:rFonts w:ascii="Arial Narrow" w:hAnsi="Arial Narrow"/>
          <w:szCs w:val="24"/>
        </w:rPr>
        <w:t>na otestovanie, čo</w:t>
      </w:r>
      <w:r w:rsidR="007B453C" w:rsidRPr="00560622">
        <w:rPr>
          <w:rFonts w:ascii="Arial Narrow" w:hAnsi="Arial Narrow"/>
          <w:szCs w:val="24"/>
        </w:rPr>
        <w:t xml:space="preserve"> mu</w:t>
      </w:r>
      <w:r w:rsidR="00F0274A" w:rsidRPr="00560622">
        <w:rPr>
          <w:rFonts w:ascii="Arial Narrow" w:hAnsi="Arial Narrow"/>
          <w:szCs w:val="24"/>
        </w:rPr>
        <w:t xml:space="preserve"> je </w:t>
      </w:r>
      <w:r w:rsidR="007B453C" w:rsidRPr="00560622">
        <w:rPr>
          <w:rFonts w:ascii="Arial Narrow" w:hAnsi="Arial Narrow"/>
          <w:szCs w:val="24"/>
        </w:rPr>
        <w:t>predávajúci</w:t>
      </w:r>
      <w:r w:rsidR="00F0274A" w:rsidRPr="00560622">
        <w:rPr>
          <w:rFonts w:ascii="Arial Narrow" w:hAnsi="Arial Narrow"/>
          <w:szCs w:val="24"/>
        </w:rPr>
        <w:t xml:space="preserve"> povinný poskytnúť do</w:t>
      </w:r>
      <w:r w:rsidR="008808C4" w:rsidRPr="00560622">
        <w:rPr>
          <w:rFonts w:ascii="Arial Narrow" w:hAnsi="Arial Narrow"/>
          <w:szCs w:val="24"/>
        </w:rPr>
        <w:t xml:space="preserve"> piatich</w:t>
      </w:r>
      <w:r w:rsidR="00F0274A" w:rsidRPr="00560622">
        <w:rPr>
          <w:rFonts w:ascii="Arial Narrow" w:hAnsi="Arial Narrow"/>
          <w:szCs w:val="24"/>
        </w:rPr>
        <w:t xml:space="preserve"> </w:t>
      </w:r>
      <w:r w:rsidR="008808C4" w:rsidRPr="00560622">
        <w:rPr>
          <w:rFonts w:ascii="Arial Narrow" w:hAnsi="Arial Narrow"/>
          <w:szCs w:val="24"/>
        </w:rPr>
        <w:t>(</w:t>
      </w:r>
      <w:r w:rsidR="00F0274A" w:rsidRPr="00560622">
        <w:rPr>
          <w:rFonts w:ascii="Arial Narrow" w:hAnsi="Arial Narrow"/>
          <w:szCs w:val="24"/>
        </w:rPr>
        <w:t>5</w:t>
      </w:r>
      <w:r w:rsidR="008808C4" w:rsidRPr="00560622">
        <w:rPr>
          <w:rFonts w:ascii="Arial Narrow" w:hAnsi="Arial Narrow"/>
          <w:szCs w:val="24"/>
        </w:rPr>
        <w:t>)</w:t>
      </w:r>
      <w:r w:rsidR="00F0274A" w:rsidRPr="00560622">
        <w:rPr>
          <w:rFonts w:ascii="Arial Narrow" w:hAnsi="Arial Narrow"/>
          <w:szCs w:val="24"/>
        </w:rPr>
        <w:t xml:space="preserve"> pracovných dní.</w:t>
      </w:r>
    </w:p>
    <w:p w14:paraId="6FA1DBF7" w14:textId="31E0698E" w:rsidR="00F0274A" w:rsidRPr="00170075" w:rsidRDefault="00F0274A" w:rsidP="00AC37B3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Ak má </w:t>
      </w:r>
      <w:r w:rsidR="00D5473D" w:rsidRPr="00560622">
        <w:rPr>
          <w:rFonts w:ascii="Arial Narrow" w:hAnsi="Arial Narrow"/>
          <w:szCs w:val="24"/>
        </w:rPr>
        <w:t xml:space="preserve">kupujúci </w:t>
      </w:r>
      <w:r w:rsidRPr="00560622">
        <w:rPr>
          <w:rFonts w:ascii="Arial Narrow" w:hAnsi="Arial Narrow"/>
          <w:szCs w:val="24"/>
        </w:rPr>
        <w:t>odôvodnenú pochybnosť o</w:t>
      </w:r>
      <w:r w:rsidR="008808C4" w:rsidRPr="00560622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tom</w:t>
      </w:r>
      <w:r w:rsidR="008808C4" w:rsidRPr="00560622">
        <w:rPr>
          <w:rFonts w:ascii="Arial Narrow" w:hAnsi="Arial Narrow"/>
          <w:szCs w:val="24"/>
        </w:rPr>
        <w:t>,</w:t>
      </w:r>
      <w:r w:rsidRPr="00560622">
        <w:rPr>
          <w:rFonts w:ascii="Arial Narrow" w:hAnsi="Arial Narrow"/>
          <w:szCs w:val="24"/>
        </w:rPr>
        <w:t xml:space="preserve"> že dodaná vzorka </w:t>
      </w:r>
      <w:r w:rsidR="008808C4" w:rsidRPr="00560622">
        <w:rPr>
          <w:rFonts w:ascii="Arial Narrow" w:hAnsi="Arial Narrow"/>
          <w:szCs w:val="24"/>
        </w:rPr>
        <w:t xml:space="preserve">predmetu zmluvy </w:t>
      </w:r>
      <w:r w:rsidRPr="00560622">
        <w:rPr>
          <w:rFonts w:ascii="Arial Narrow" w:hAnsi="Arial Narrow"/>
          <w:szCs w:val="24"/>
        </w:rPr>
        <w:t xml:space="preserve">nezodpovedá požadovanej špecifikácií, </w:t>
      </w:r>
      <w:r w:rsidR="00626B24" w:rsidRPr="00560622">
        <w:rPr>
          <w:rFonts w:ascii="Arial Narrow" w:hAnsi="Arial Narrow"/>
          <w:szCs w:val="24"/>
        </w:rPr>
        <w:t>predávajúci</w:t>
      </w:r>
      <w:r w:rsidRPr="00560622">
        <w:rPr>
          <w:rFonts w:ascii="Arial Narrow" w:hAnsi="Arial Narrow"/>
          <w:szCs w:val="24"/>
        </w:rPr>
        <w:t xml:space="preserve"> zabezpečí preukázanie zhody </w:t>
      </w:r>
      <w:r w:rsidR="008808C4" w:rsidRPr="00560622">
        <w:rPr>
          <w:rFonts w:ascii="Arial Narrow" w:hAnsi="Arial Narrow"/>
          <w:szCs w:val="24"/>
        </w:rPr>
        <w:t>s</w:t>
      </w:r>
      <w:r w:rsidRPr="00560622">
        <w:rPr>
          <w:rFonts w:ascii="Arial Narrow" w:hAnsi="Arial Narrow"/>
          <w:szCs w:val="24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945EA5" w:rsidRPr="00560622">
        <w:rPr>
          <w:rFonts w:ascii="Arial Narrow" w:hAnsi="Arial Narrow"/>
          <w:szCs w:val="24"/>
        </w:rPr>
        <w:t xml:space="preserve"> </w:t>
      </w:r>
      <w:r w:rsidR="008808C4" w:rsidRPr="00560622">
        <w:rPr>
          <w:rFonts w:ascii="Arial Narrow" w:hAnsi="Arial Narrow"/>
          <w:szCs w:val="24"/>
        </w:rPr>
        <w:t>predmetu zmluvy</w:t>
      </w:r>
      <w:r w:rsidRPr="00560622">
        <w:rPr>
          <w:rFonts w:ascii="Arial Narrow" w:hAnsi="Arial Narrow"/>
          <w:szCs w:val="24"/>
        </w:rPr>
        <w:t>. Originalitu môže potvrdiť aj výrobca príslušných periférnych zariadení, alebo jeho zástupca pre Slovenskú republiku.</w:t>
      </w:r>
    </w:p>
    <w:p w14:paraId="25460357" w14:textId="77777777" w:rsidR="00170075" w:rsidRPr="00A5699D" w:rsidRDefault="00170075" w:rsidP="00170075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14:paraId="09FAF401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Zodpovedného orgánu,</w:t>
      </w:r>
    </w:p>
    <w:p w14:paraId="7B6F8434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Orgánu auditu,</w:t>
      </w:r>
    </w:p>
    <w:p w14:paraId="002FC7CA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Najvyššieho kontrolného úradu Slovenskej republiky,</w:t>
      </w:r>
    </w:p>
    <w:p w14:paraId="44103E77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Úradu pre verejné obstarávanie,</w:t>
      </w:r>
    </w:p>
    <w:p w14:paraId="3E3929E8" w14:textId="77F03EFC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riadne splnomocnení zástupcovia Európskej komisie, Európskeho úradu na boj proti podvo</w:t>
      </w:r>
      <w:r>
        <w:rPr>
          <w:rFonts w:ascii="Arial Narrow" w:hAnsi="Arial Narrow" w:cs="Calibri"/>
          <w:szCs w:val="24"/>
        </w:rPr>
        <w:t>dom</w:t>
      </w:r>
      <w:r w:rsidRPr="00A5699D">
        <w:rPr>
          <w:rFonts w:ascii="Arial Narrow" w:hAnsi="Arial Narrow" w:cs="Calibri"/>
          <w:szCs w:val="24"/>
        </w:rPr>
        <w:t xml:space="preserve"> a Európskeho dvora </w:t>
      </w:r>
      <w:proofErr w:type="spellStart"/>
      <w:r w:rsidRPr="00A5699D">
        <w:rPr>
          <w:rFonts w:ascii="Arial Narrow" w:hAnsi="Arial Narrow" w:cs="Calibri"/>
          <w:szCs w:val="24"/>
        </w:rPr>
        <w:t>auditorov</w:t>
      </w:r>
      <w:proofErr w:type="spellEnd"/>
      <w:r w:rsidRPr="00A5699D">
        <w:rPr>
          <w:rFonts w:ascii="Arial Narrow" w:hAnsi="Arial Narrow" w:cs="Calibri"/>
          <w:szCs w:val="24"/>
        </w:rPr>
        <w:t>,</w:t>
      </w:r>
    </w:p>
    <w:p w14:paraId="093E4D66" w14:textId="289B1160" w:rsidR="00170075" w:rsidRPr="00170075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osoby prizvané kontrolnými orgánmi uvedenými v písm. a) až e) tohto bodu v súlade s príslušnými právnymi predpismi SR a ES.</w:t>
      </w: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77777777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14:paraId="28374172" w14:textId="77777777" w:rsidR="001F49E2" w:rsidRPr="0056062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77777777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77777777"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 xml:space="preserve">.8.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C84572" w:rsidRPr="00560622">
        <w:rPr>
          <w:rFonts w:ascii="Arial Narrow" w:hAnsi="Arial Narrow"/>
          <w:sz w:val="24"/>
          <w:szCs w:val="24"/>
        </w:rPr>
        <w:t>3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77777777" w:rsidR="001F49E2" w:rsidRPr="0056062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</w:t>
      </w: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však dva mesiace. Po uplynutí tejto doby sa Zmluvné strany dohodnú o ďalšom postupe. Ak nedôjde k dohode, má strana, ktorá sa odvolala na okolnosti vylučujúce zodpovednosť, právo odstúpiť od zmluvy. </w:t>
      </w: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4378D55F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A5714C" w:rsidRPr="005320C3">
        <w:rPr>
          <w:rFonts w:ascii="Arial Narrow" w:hAnsi="Arial Narrow"/>
          <w:sz w:val="24"/>
          <w:szCs w:val="24"/>
        </w:rPr>
        <w:t>mjr. Mgr. Jana Gállová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3E7B816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r w:rsidR="00A5714C" w:rsidRPr="005320C3">
        <w:rPr>
          <w:rFonts w:ascii="Arial Narrow" w:hAnsi="Arial Narrow"/>
          <w:sz w:val="24"/>
          <w:szCs w:val="24"/>
        </w:rPr>
        <w:t>jana.gallova@minv.sk</w:t>
      </w:r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  <w:highlight w:val="yellow"/>
        </w:rPr>
      </w:pPr>
      <w:r w:rsidRPr="00560622">
        <w:rPr>
          <w:rFonts w:ascii="Arial Narrow" w:hAnsi="Arial Narrow" w:cs="Arial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 w:cs="Arial"/>
          <w:sz w:val="24"/>
          <w:szCs w:val="24"/>
          <w:highlight w:val="yellow"/>
        </w:rPr>
        <w:t>xxxxxxxxxxxx</w:t>
      </w:r>
      <w:proofErr w:type="spellEnd"/>
    </w:p>
    <w:p w14:paraId="26CE87F0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</w:t>
      </w:r>
      <w:proofErr w:type="spellEnd"/>
    </w:p>
    <w:p w14:paraId="5C41CAF1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 xml:space="preserve"> </w:t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560622">
        <w:rPr>
          <w:rFonts w:ascii="Arial Narrow" w:hAnsi="Arial Narrow"/>
          <w:sz w:val="24"/>
          <w:szCs w:val="24"/>
          <w:highlight w:val="yellow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v súlade so zákonom č. 40/1964 Zb. Občiansky zákonník v znení neskorších predpisov, a ktorými sa menia a dopĺňajú niektoré zákony.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7D1302A1" w14:textId="43EBE568" w:rsidR="00D44C95" w:rsidRPr="00D44C95" w:rsidRDefault="00741744" w:rsidP="00D44C95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nadobúda platnosť dňom jej podpi</w:t>
      </w:r>
      <w:r w:rsidR="00D44C95">
        <w:rPr>
          <w:rFonts w:ascii="Arial Narrow" w:hAnsi="Arial Narrow"/>
          <w:sz w:val="24"/>
          <w:szCs w:val="24"/>
        </w:rPr>
        <w:t xml:space="preserve">su obidvoma zmluvnými stranami. </w:t>
      </w:r>
      <w:r w:rsidR="00D44C95" w:rsidRPr="00D44C95">
        <w:rPr>
          <w:rFonts w:ascii="Arial Narrow" w:hAnsi="Arial Narrow"/>
          <w:sz w:val="24"/>
        </w:rPr>
        <w:t xml:space="preserve">Táto zmluva nadobudne účinnosť až po schválení verejného obstarávania v rámci kontroly, </w:t>
      </w:r>
      <w:proofErr w:type="spellStart"/>
      <w:r w:rsidR="00D44C95" w:rsidRPr="00D44C95">
        <w:rPr>
          <w:rFonts w:ascii="Arial Narrow" w:hAnsi="Arial Narrow"/>
          <w:sz w:val="24"/>
        </w:rPr>
        <w:t>t.j</w:t>
      </w:r>
      <w:proofErr w:type="spellEnd"/>
      <w:r w:rsidR="00D44C95" w:rsidRPr="00D44C95">
        <w:rPr>
          <w:rFonts w:ascii="Arial Narrow" w:hAnsi="Arial Narrow"/>
          <w:sz w:val="24"/>
        </w:rPr>
        <w:t>. doručením správy z kontroly VO kupujúcemu s vyhlásením, že počas kontroly verejného obstarávania nebolo zistené porušenie princípov a postupov verejného obstarávania definovaných právnymi predpismi EÚ a SR pre verejné obs</w:t>
      </w:r>
      <w:r w:rsidR="00D44C95">
        <w:rPr>
          <w:rFonts w:ascii="Arial Narrow" w:hAnsi="Arial Narrow"/>
          <w:sz w:val="24"/>
        </w:rPr>
        <w:t>tarávanie. V opačnom prípade má</w:t>
      </w:r>
      <w:r w:rsidR="00D44C95" w:rsidRPr="00D44C95">
        <w:rPr>
          <w:rFonts w:ascii="Arial Narrow" w:hAnsi="Arial Narrow"/>
          <w:sz w:val="24"/>
        </w:rPr>
        <w:t xml:space="preserve"> kupujúci právo odstúpiť od zmluvy, pričom toto jednostranné odstúpenie nezakladá žiadne právo predávajúceho na plnenie nákladov spojených s týmto verejným obstarávaním. Táto zmluva zároveň nadobudne účinnosť až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DA8D282" w14:textId="77777777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je vyhotovená v piatich (5) rovnopisoch s platnosťou originálu, dva (2) rovnopisy zostanú predávajúcemu a tri (3)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77777777" w:rsidR="00FC2417" w:rsidRPr="00560622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8"/>
      <w:footerReference w:type="default" r:id="rId9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BDF64" w14:textId="77777777" w:rsidR="00DA5806" w:rsidRDefault="00DA5806" w:rsidP="006E6235">
      <w:r>
        <w:separator/>
      </w:r>
    </w:p>
  </w:endnote>
  <w:endnote w:type="continuationSeparator" w:id="0">
    <w:p w14:paraId="315EF4E4" w14:textId="77777777" w:rsidR="00DA5806" w:rsidRDefault="00DA580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690CC246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B01FE5">
              <w:rPr>
                <w:bCs/>
                <w:noProof/>
              </w:rPr>
              <w:t>3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B01FE5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04084" w14:textId="77777777" w:rsidR="00DA5806" w:rsidRDefault="00DA5806" w:rsidP="006E6235">
      <w:r>
        <w:separator/>
      </w:r>
    </w:p>
  </w:footnote>
  <w:footnote w:type="continuationSeparator" w:id="0">
    <w:p w14:paraId="649322D2" w14:textId="77777777" w:rsidR="00DA5806" w:rsidRDefault="00DA580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5"/>
  </w:num>
  <w:num w:numId="8">
    <w:abstractNumId w:val="22"/>
  </w:num>
  <w:num w:numId="9">
    <w:abstractNumId w:val="25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29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AUAoPfzqiwAAAA="/>
  </w:docVars>
  <w:rsids>
    <w:rsidRoot w:val="00FC2417"/>
    <w:rsid w:val="0000220B"/>
    <w:rsid w:val="0000767C"/>
    <w:rsid w:val="000169E9"/>
    <w:rsid w:val="000173AD"/>
    <w:rsid w:val="00022909"/>
    <w:rsid w:val="0002733B"/>
    <w:rsid w:val="000815C8"/>
    <w:rsid w:val="00094AC0"/>
    <w:rsid w:val="00097ED2"/>
    <w:rsid w:val="000A644D"/>
    <w:rsid w:val="000B10D9"/>
    <w:rsid w:val="000B21C1"/>
    <w:rsid w:val="000B3AA8"/>
    <w:rsid w:val="000D28A9"/>
    <w:rsid w:val="000E2F2D"/>
    <w:rsid w:val="000E63B6"/>
    <w:rsid w:val="000F0F2B"/>
    <w:rsid w:val="000F28BD"/>
    <w:rsid w:val="001005FA"/>
    <w:rsid w:val="001035E7"/>
    <w:rsid w:val="00110388"/>
    <w:rsid w:val="00141BD9"/>
    <w:rsid w:val="00144AD6"/>
    <w:rsid w:val="00153E4C"/>
    <w:rsid w:val="00154C42"/>
    <w:rsid w:val="00170075"/>
    <w:rsid w:val="00170351"/>
    <w:rsid w:val="00173C02"/>
    <w:rsid w:val="00187522"/>
    <w:rsid w:val="001A1BAB"/>
    <w:rsid w:val="001A1D1B"/>
    <w:rsid w:val="001B01D3"/>
    <w:rsid w:val="001B5406"/>
    <w:rsid w:val="001F49E2"/>
    <w:rsid w:val="002672D5"/>
    <w:rsid w:val="002761BF"/>
    <w:rsid w:val="00285C9D"/>
    <w:rsid w:val="00286383"/>
    <w:rsid w:val="00287E51"/>
    <w:rsid w:val="00297497"/>
    <w:rsid w:val="002A05ED"/>
    <w:rsid w:val="002B3C9A"/>
    <w:rsid w:val="002C3622"/>
    <w:rsid w:val="002D73F8"/>
    <w:rsid w:val="002E2C9D"/>
    <w:rsid w:val="003148C1"/>
    <w:rsid w:val="0032107B"/>
    <w:rsid w:val="0034246B"/>
    <w:rsid w:val="00360582"/>
    <w:rsid w:val="00363E6B"/>
    <w:rsid w:val="00386FA2"/>
    <w:rsid w:val="003B06AC"/>
    <w:rsid w:val="003B3DFB"/>
    <w:rsid w:val="003D1B32"/>
    <w:rsid w:val="003D2F55"/>
    <w:rsid w:val="003D7909"/>
    <w:rsid w:val="003E2B86"/>
    <w:rsid w:val="003E798A"/>
    <w:rsid w:val="004003BF"/>
    <w:rsid w:val="00404493"/>
    <w:rsid w:val="004051D1"/>
    <w:rsid w:val="004135CF"/>
    <w:rsid w:val="004314B0"/>
    <w:rsid w:val="0043329B"/>
    <w:rsid w:val="00434FBA"/>
    <w:rsid w:val="00437AA6"/>
    <w:rsid w:val="00440497"/>
    <w:rsid w:val="004719DF"/>
    <w:rsid w:val="004738F4"/>
    <w:rsid w:val="004819EC"/>
    <w:rsid w:val="00485F33"/>
    <w:rsid w:val="004C286C"/>
    <w:rsid w:val="004D37DE"/>
    <w:rsid w:val="004E1006"/>
    <w:rsid w:val="004E22F4"/>
    <w:rsid w:val="004F1B98"/>
    <w:rsid w:val="004F4EA7"/>
    <w:rsid w:val="004F5455"/>
    <w:rsid w:val="00502E13"/>
    <w:rsid w:val="00503DEC"/>
    <w:rsid w:val="00513182"/>
    <w:rsid w:val="0052010E"/>
    <w:rsid w:val="005320C3"/>
    <w:rsid w:val="00532C5D"/>
    <w:rsid w:val="0054359B"/>
    <w:rsid w:val="00543852"/>
    <w:rsid w:val="00545155"/>
    <w:rsid w:val="00554EC0"/>
    <w:rsid w:val="00560622"/>
    <w:rsid w:val="00565125"/>
    <w:rsid w:val="00582DCF"/>
    <w:rsid w:val="0059331A"/>
    <w:rsid w:val="005A5CF8"/>
    <w:rsid w:val="005C47AE"/>
    <w:rsid w:val="005C47C6"/>
    <w:rsid w:val="005C4D3C"/>
    <w:rsid w:val="005D1538"/>
    <w:rsid w:val="005D55E8"/>
    <w:rsid w:val="005E7BC5"/>
    <w:rsid w:val="005F0DEE"/>
    <w:rsid w:val="006037E3"/>
    <w:rsid w:val="006056F6"/>
    <w:rsid w:val="00613A8C"/>
    <w:rsid w:val="006208A8"/>
    <w:rsid w:val="00621B8E"/>
    <w:rsid w:val="00626B24"/>
    <w:rsid w:val="00641960"/>
    <w:rsid w:val="006459FE"/>
    <w:rsid w:val="006710D7"/>
    <w:rsid w:val="00675C28"/>
    <w:rsid w:val="00680DCA"/>
    <w:rsid w:val="00693E11"/>
    <w:rsid w:val="006B19B5"/>
    <w:rsid w:val="006C25A5"/>
    <w:rsid w:val="006C30F1"/>
    <w:rsid w:val="006E6235"/>
    <w:rsid w:val="006E757E"/>
    <w:rsid w:val="006F1081"/>
    <w:rsid w:val="006F78A8"/>
    <w:rsid w:val="00701D18"/>
    <w:rsid w:val="00704F9D"/>
    <w:rsid w:val="00706452"/>
    <w:rsid w:val="007301F2"/>
    <w:rsid w:val="00734EA2"/>
    <w:rsid w:val="00737FAA"/>
    <w:rsid w:val="00741744"/>
    <w:rsid w:val="00761A8E"/>
    <w:rsid w:val="0077096A"/>
    <w:rsid w:val="00772FCE"/>
    <w:rsid w:val="007859D9"/>
    <w:rsid w:val="007A1CE8"/>
    <w:rsid w:val="007B453C"/>
    <w:rsid w:val="007C7F2F"/>
    <w:rsid w:val="007E2863"/>
    <w:rsid w:val="007F32BF"/>
    <w:rsid w:val="008453DC"/>
    <w:rsid w:val="00866950"/>
    <w:rsid w:val="008808C4"/>
    <w:rsid w:val="008911FF"/>
    <w:rsid w:val="008A2A3D"/>
    <w:rsid w:val="008A3759"/>
    <w:rsid w:val="008B250C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5EA5"/>
    <w:rsid w:val="00964845"/>
    <w:rsid w:val="00970C2D"/>
    <w:rsid w:val="00973437"/>
    <w:rsid w:val="00980119"/>
    <w:rsid w:val="009B0246"/>
    <w:rsid w:val="009B2474"/>
    <w:rsid w:val="009D4970"/>
    <w:rsid w:val="009E5D1A"/>
    <w:rsid w:val="00A04F38"/>
    <w:rsid w:val="00A23C81"/>
    <w:rsid w:val="00A324FA"/>
    <w:rsid w:val="00A350F5"/>
    <w:rsid w:val="00A46671"/>
    <w:rsid w:val="00A500AC"/>
    <w:rsid w:val="00A53917"/>
    <w:rsid w:val="00A5714C"/>
    <w:rsid w:val="00A82F42"/>
    <w:rsid w:val="00A91034"/>
    <w:rsid w:val="00AA5611"/>
    <w:rsid w:val="00AC37B3"/>
    <w:rsid w:val="00AC67C2"/>
    <w:rsid w:val="00AD44DF"/>
    <w:rsid w:val="00B01FE5"/>
    <w:rsid w:val="00B104DE"/>
    <w:rsid w:val="00B5627F"/>
    <w:rsid w:val="00B60143"/>
    <w:rsid w:val="00B95A00"/>
    <w:rsid w:val="00BA2865"/>
    <w:rsid w:val="00BB427D"/>
    <w:rsid w:val="00BF0470"/>
    <w:rsid w:val="00BF0AE1"/>
    <w:rsid w:val="00C1403F"/>
    <w:rsid w:val="00C61439"/>
    <w:rsid w:val="00C84572"/>
    <w:rsid w:val="00C85957"/>
    <w:rsid w:val="00CA1ED4"/>
    <w:rsid w:val="00CC2904"/>
    <w:rsid w:val="00CE13E9"/>
    <w:rsid w:val="00D0046D"/>
    <w:rsid w:val="00D43B58"/>
    <w:rsid w:val="00D44C95"/>
    <w:rsid w:val="00D5473D"/>
    <w:rsid w:val="00D705FC"/>
    <w:rsid w:val="00D73D13"/>
    <w:rsid w:val="00D92443"/>
    <w:rsid w:val="00DA05EA"/>
    <w:rsid w:val="00DA5806"/>
    <w:rsid w:val="00DA58A1"/>
    <w:rsid w:val="00DA7BC4"/>
    <w:rsid w:val="00DB27EC"/>
    <w:rsid w:val="00DB4DE5"/>
    <w:rsid w:val="00DB4E19"/>
    <w:rsid w:val="00DE521C"/>
    <w:rsid w:val="00DE6451"/>
    <w:rsid w:val="00DF3E82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4AB3"/>
    <w:rsid w:val="00E7246A"/>
    <w:rsid w:val="00EA1188"/>
    <w:rsid w:val="00EC5B77"/>
    <w:rsid w:val="00ED72DF"/>
    <w:rsid w:val="00EE5DE2"/>
    <w:rsid w:val="00EF0B84"/>
    <w:rsid w:val="00F0274A"/>
    <w:rsid w:val="00F167DD"/>
    <w:rsid w:val="00F31467"/>
    <w:rsid w:val="00F325DC"/>
    <w:rsid w:val="00F400D2"/>
    <w:rsid w:val="00F432CD"/>
    <w:rsid w:val="00F50D9F"/>
    <w:rsid w:val="00F825A4"/>
    <w:rsid w:val="00F85137"/>
    <w:rsid w:val="00F90427"/>
    <w:rsid w:val="00FA2A04"/>
    <w:rsid w:val="00FB6406"/>
    <w:rsid w:val="00FC2417"/>
    <w:rsid w:val="00FC3EA0"/>
    <w:rsid w:val="00FC5D6D"/>
    <w:rsid w:val="00FC68E9"/>
    <w:rsid w:val="00FD2E21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FDB076D7-A82F-42EF-909E-490BE36A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customStyle="1" w:styleId="Zkladntext0">
    <w:name w:val="Základný text_"/>
    <w:link w:val="Zkladntext2"/>
    <w:rsid w:val="005A5CF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5A5CF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6A2B-5787-4A9B-93B9-46B54332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3239</Words>
  <Characters>18464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11</cp:revision>
  <cp:lastPrinted>2020-09-23T13:30:00Z</cp:lastPrinted>
  <dcterms:created xsi:type="dcterms:W3CDTF">2022-04-28T09:47:00Z</dcterms:created>
  <dcterms:modified xsi:type="dcterms:W3CDTF">2022-10-03T14:37:00Z</dcterms:modified>
</cp:coreProperties>
</file>